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A2463" w:sz="1"/>
              <w:left w:val="single" w:color="0A2463" w:sz="1"/>
              <w:bottom w:val="single" w:color="0A2463" w:sz="1"/>
              <w:right w:val="single" w:color="0A2463" w:sz="1"/>
            </w:tcBorders>
            <w:shd w:fill="E8ED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color w:val="3CBBB1"/>
                <w:sz w:val="18"/>
                <w:szCs w:val="18"/>
              </w:rPr>
              <w:t xml:space="preserve">ASSESSMENT TOOL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A2463"/>
                <w:sz w:val="48"/>
                <w:szCs w:val="48"/>
              </w:rPr>
              <w:t xml:space="preserve">AI Services Roadmap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Complete go-to-market strategy for launching and selling AI consulting services — including service packaging, pricing tiers, sales motion, and upsell playbooks for existing clients.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7280"/>
                <w:sz w:val="20"/>
                <w:szCs w:val="20"/>
              </w:rPr>
              <w:t xml:space="preserve">Section: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Assessment Deployment Tools &amp; Templates    </w:t>
            </w:r>
            <w:r>
              <w:rPr>
                <w:rFonts w:ascii="Arial" w:cs="Arial" w:eastAsia="Arial" w:hAnsi="Arial"/>
                <w:b/>
                <w:bCs/>
                <w:color w:val="6B7280"/>
                <w:sz w:val="20"/>
                <w:szCs w:val="20"/>
              </w:rPr>
              <w:t xml:space="preserve">Audience: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Sales &amp; Account Management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/>
      </w:r>
    </w:p>
    <w:p>
      <w:pPr>
        <w:pBdr>
          <w:bottom w:val="single" w:color="E2E6EF" w:sz="4"/>
        </w:pBdr>
        <w:spacing w:after="120" w:before="32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CORE POSITIONING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7D2FE" w:sz="1"/>
              <w:left w:val="single" w:color="C7D2FE" w:sz="1"/>
              <w:bottom w:val="single" w:color="C7D2FE" w:sz="1"/>
              <w:right w:val="single" w:color="C7D2FE" w:sz="1"/>
            </w:tcBorders>
            <w:shd w:fill="EEF2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Core positioning shift</w:t>
            </w:r>
          </w:p>
          <w:p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MSPs who win in AI consulting reframe their identity from </w:t>
            </w:r>
            <w:r>
              <w:rPr>
                <w:rFonts w:ascii="Arial" w:cs="Arial" w:eastAsia="Arial" w:hAnsi="Arial"/>
                <w:i/>
                <w:iCs/>
                <w:color w:val="374151"/>
                <w:sz w:val="22"/>
                <w:szCs w:val="22"/>
              </w:rPr>
              <w:t xml:space="preserve">"we keep your IT running"</w:t>
            </w: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 to </w:t>
            </w: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"we make your business smarter."</w:t>
            </w: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 Every packaging and sales decision flows from that shift. Lead with business outcomes, not technology features.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/>
      </w:r>
    </w:p>
    <w:p>
      <w:pPr>
        <w:pBdr>
          <w:bottom w:val="single" w:color="E2E6EF" w:sz="4"/>
        </w:pBdr>
        <w:spacing w:after="120" w:before="32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SERVICE PACKAGING — THREE-LAYER ARCHITECTURE</w:t>
      </w:r>
    </w:p>
    <w:p>
      <w:pPr>
        <w:spacing w:after="120"/>
      </w:pPr>
      <w:r>
        <w:rPr>
          <w:rFonts w:ascii="Arial" w:cs="Arial" w:eastAsia="Arial" w:hAnsi="Arial"/>
          <w:color w:val="1A1F36"/>
          <w:sz w:val="22"/>
          <w:szCs w:val="22"/>
        </w:rPr>
        <w:t xml:space="preserve">Structure your AI offering in three distinct layers, sold separately or bundled:</w:t>
      </w:r>
    </w:p>
    <w:p>
      <w:pPr>
        <w:spacing w:after="8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66534"/>
                <w:sz w:val="18"/>
                <w:szCs w:val="18"/>
              </w:rPr>
              <w:t xml:space="preserve">LAYER 1</w:t>
            </w:r>
          </w:p>
          <w:p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Assessment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AI Readiness Assessment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One-time, fixed scope. Your door-opener product. Creates proprietary roadmap that only you can execute.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Data infrastructure audit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Workflow candidate mapping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Security &amp; compliance posture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Staff readiness review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Prioritized roadmap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C0C4CC"/>
                <w:sz w:val="18"/>
                <w:szCs w:val="18"/>
              </w:rPr>
              <w:t xml:space="preserve">↓ leads to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54D0E"/>
                <w:sz w:val="18"/>
                <w:szCs w:val="18"/>
              </w:rPr>
              <w:t xml:space="preserve">LAYER 2</w:t>
            </w:r>
          </w:p>
          <w:p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Projects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AI Implementation Projects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Project-based, fixed-fee engagements tied to specific use cases. Each has a defined deliverable.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Microsoft 365 Copilot deployment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Document processing automation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AI-assisted helpdesk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Custom GPT / agent builds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Data pipeline modernization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C0C4CC"/>
                <w:sz w:val="18"/>
                <w:szCs w:val="18"/>
              </w:rPr>
              <w:t xml:space="preserve">↓ converts to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0AF"/>
                <w:sz w:val="18"/>
                <w:szCs w:val="18"/>
              </w:rPr>
              <w:t xml:space="preserve">LAYER 3</w:t>
            </w:r>
          </w:p>
          <w:p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MRR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AI Managed Services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Recurring MRR. Ongoing model monitoring, governance, and optimization. Your durable revenue base.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Model monitoring &amp; maintenance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Prompt engineering updates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AI governance &amp; compliance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Usage &amp; ROI reporting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• Quarterly optimization reviews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Bdr>
          <w:bottom w:val="single" w:color="E2E6EF" w:sz="4"/>
        </w:pBdr>
        <w:spacing w:after="120" w:before="32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PRICING TIERS BY CLIENT SEGMENT</w:t>
      </w:r>
    </w:p>
    <w:p>
      <w:pPr>
        <w:spacing w:after="120"/>
      </w:pPr>
      <w:r>
        <w:rPr>
          <w:rFonts w:ascii="Arial" w:cs="Arial" w:eastAsia="Arial" w:hAnsi="Arial"/>
          <w:color w:val="1A1F36"/>
          <w:sz w:val="22"/>
          <w:szCs w:val="22"/>
        </w:rPr>
        <w:t xml:space="preserve">Three tiers map cleanly to SMB, mid-market, and enterprise. Price the outcome, not the hours.</w:t>
      </w:r>
    </w:p>
    <w:p>
      <w:pPr>
        <w:spacing w:after="12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A2463"/>
                <w:sz w:val="24"/>
                <w:szCs w:val="24"/>
              </w:rPr>
              <w:t xml:space="preserve">AI Foundation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Starter · 10–100 employees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A2463"/>
                <w:sz w:val="26"/>
                <w:szCs w:val="26"/>
              </w:rPr>
              <w:t xml:space="preserve">$1,200–$2,500/mo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monthly MRR (managed services)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F36"/>
                <w:sz w:val="20"/>
                <w:szCs w:val="20"/>
              </w:rPr>
              <w:t xml:space="preserve">Assessment: </w:t>
            </w:r>
            <w:r>
              <w:rPr>
                <w:rFonts w:ascii="Arial" w:cs="Arial" w:eastAsia="Arial" w:hAnsi="Arial"/>
                <w:color w:val="1A1F36"/>
                <w:sz w:val="20"/>
                <w:szCs w:val="20"/>
              </w:rPr>
              <w:t xml:space="preserve">$3,500–$6,000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b/>
                <w:bCs/>
                <w:color w:val="1A1F36"/>
                <w:sz w:val="20"/>
                <w:szCs w:val="20"/>
              </w:rPr>
              <w:t xml:space="preserve">Project: </w:t>
            </w:r>
            <w:r>
              <w:rPr>
                <w:rFonts w:ascii="Arial" w:cs="Arial" w:eastAsia="Arial" w:hAnsi="Arial"/>
                <w:color w:val="1A1F36"/>
                <w:sz w:val="20"/>
                <w:szCs w:val="20"/>
              </w:rPr>
              <w:t xml:space="preserve">$8,000–$15,000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Single-location SMB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M365 Business plans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1–2 workflow automations</w:t>
            </w:r>
          </w:p>
          <w:p>
            <w:pPr>
              <w:spacing w:after="0" w:before="100"/>
            </w:pPr>
            <w:r>
              <w:rPr>
                <w:rFonts w:ascii="Arial" w:cs="Arial" w:eastAsia="Arial" w:hAnsi="Arial"/>
                <w:i/>
                <w:iCs/>
                <w:color w:val="9CA3AF"/>
                <w:sz w:val="18"/>
                <w:szCs w:val="18"/>
              </w:rPr>
              <w:t xml:space="preserve">Best entry: document processing or AI helpdesk</w:t>
            </w:r>
          </w:p>
        </w:tc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A2463"/>
                <w:sz w:val="24"/>
                <w:szCs w:val="24"/>
              </w:rPr>
              <w:t xml:space="preserve">AI Accelerator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Growth · 100–500 employees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A2463"/>
                <w:sz w:val="26"/>
                <w:szCs w:val="26"/>
              </w:rPr>
              <w:t xml:space="preserve">$3,500–$7,500/mo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monthly MRR (managed services)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F36"/>
                <w:sz w:val="20"/>
                <w:szCs w:val="20"/>
              </w:rPr>
              <w:t xml:space="preserve">Assessment: </w:t>
            </w:r>
            <w:r>
              <w:rPr>
                <w:rFonts w:ascii="Arial" w:cs="Arial" w:eastAsia="Arial" w:hAnsi="Arial"/>
                <w:color w:val="1A1F36"/>
                <w:sz w:val="20"/>
                <w:szCs w:val="20"/>
              </w:rPr>
              <w:t xml:space="preserve">$8,000–$15,000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b/>
                <w:bCs/>
                <w:color w:val="1A1F36"/>
                <w:sz w:val="20"/>
                <w:szCs w:val="20"/>
              </w:rPr>
              <w:t xml:space="preserve">Project: </w:t>
            </w:r>
            <w:r>
              <w:rPr>
                <w:rFonts w:ascii="Arial" w:cs="Arial" w:eastAsia="Arial" w:hAnsi="Arial"/>
                <w:color w:val="1A1F36"/>
                <w:sz w:val="20"/>
                <w:szCs w:val="20"/>
              </w:rPr>
              <w:t xml:space="preserve">$20,000–$50,000 (up to 3)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Multi-department rollout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M365 E3/E5 or equivalent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Copilot + custom agents</w:t>
            </w:r>
          </w:p>
          <w:p>
            <w:pPr>
              <w:spacing w:after="0" w:before="100"/>
            </w:pPr>
            <w:r>
              <w:rPr>
                <w:rFonts w:ascii="Arial" w:cs="Arial" w:eastAsia="Arial" w:hAnsi="Arial"/>
                <w:i/>
                <w:iCs/>
                <w:color w:val="1E40AF"/>
                <w:sz w:val="18"/>
                <w:szCs w:val="18"/>
              </w:rPr>
              <w:t xml:space="preserve">Best entry: Copilot deployment across ops/sales</w:t>
            </w:r>
          </w:p>
        </w:tc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A2463"/>
                <w:sz w:val="24"/>
                <w:szCs w:val="24"/>
              </w:rPr>
              <w:t xml:space="preserve">AI Transformation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Enterprise · 500+ employees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A2463"/>
                <w:sz w:val="26"/>
                <w:szCs w:val="26"/>
              </w:rPr>
              <w:t xml:space="preserve">$10,000–$25,000+/mo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monthly MRR (managed services)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F36"/>
                <w:sz w:val="20"/>
                <w:szCs w:val="20"/>
              </w:rPr>
              <w:t xml:space="preserve">Assessment: </w:t>
            </w:r>
            <w:r>
              <w:rPr>
                <w:rFonts w:ascii="Arial" w:cs="Arial" w:eastAsia="Arial" w:hAnsi="Arial"/>
                <w:color w:val="1A1F36"/>
                <w:sz w:val="20"/>
                <w:szCs w:val="20"/>
              </w:rPr>
              <w:t xml:space="preserve">$20,000–$40,000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b/>
                <w:bCs/>
                <w:color w:val="1A1F36"/>
                <w:sz w:val="20"/>
                <w:szCs w:val="20"/>
              </w:rPr>
              <w:t xml:space="preserve">Project: </w:t>
            </w:r>
            <w:r>
              <w:rPr>
                <w:rFonts w:ascii="Arial" w:cs="Arial" w:eastAsia="Arial" w:hAnsi="Arial"/>
                <w:color w:val="1A1F36"/>
                <w:sz w:val="20"/>
                <w:szCs w:val="20"/>
              </w:rPr>
              <w:t xml:space="preserve">$75,000–$200,000+ (multi-workflow)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AI governance framework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Custom model fine-tuning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Dedicated AI program mgmt</w:t>
            </w:r>
          </w:p>
          <w:p>
            <w:pPr>
              <w:spacing w:after="0" w:before="100"/>
            </w:pPr>
            <w:r>
              <w:rPr>
                <w:rFonts w:ascii="Arial" w:cs="Arial" w:eastAsia="Arial" w:hAnsi="Arial"/>
                <w:i/>
                <w:iCs/>
                <w:color w:val="9CA3AF"/>
                <w:sz w:val="18"/>
                <w:szCs w:val="18"/>
              </w:rPr>
              <w:t xml:space="preserve">Best entry: AI governance audit + roadmap program</w:t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Pricing philosophy: anchor on ROI, not hours</w:t>
            </w:r>
          </w:p>
          <w:p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A workflow saving 2 FTEs at $75,000/year each = $150,000 in annual value. Your $40,000 implementation fee delivers a 3.75× ROI before year-end. Build ROI calculators for each vertical and use them in every proposal.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/>
      </w:r>
    </w:p>
    <w:p>
      <w:pPr>
        <w:pBdr>
          <w:bottom w:val="single" w:color="E2E6EF" w:sz="4"/>
        </w:pBdr>
        <w:spacing w:after="120" w:before="32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ASSESSMENT-LED SALES MOTION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A2463"/>
                <w:sz w:val="36"/>
                <w:szCs w:val="36"/>
              </w:rPr>
              <w:t xml:space="preserve">~60%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Assessment-to-project close rate</w:t>
            </w:r>
          </w:p>
        </w:tc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A2463"/>
                <w:sz w:val="36"/>
                <w:szCs w:val="36"/>
              </w:rPr>
              <w:t xml:space="preserve">90 days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Avg. assessment to signed contract</w:t>
            </w:r>
          </w:p>
        </w:tc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A2463"/>
                <w:sz w:val="36"/>
                <w:szCs w:val="36"/>
              </w:rPr>
              <w:t xml:space="preserve">3–5×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Lower CAC vs. new logo</w:t>
            </w:r>
          </w:p>
        </w:tc>
      </w:tr>
    </w:tbl>
    <w:p>
      <w:pPr>
        <w:spacing w:after="140"/>
      </w:pPr>
      <w:r>
        <w:rPr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1A1F36"/>
          <w:sz w:val="22"/>
          <w:szCs w:val="22"/>
        </w:rPr>
        <w:t xml:space="preserve">The highest-converting motion is the Assessment-Led Sale. Lead with the readiness assessment as a low-risk, high-value entry point. Never lead with "we do AI" — lead with "we've found 3 AI opportunities companies like yours are missing."</w:t>
      </w:r>
    </w:p>
    <w:p>
      <w:pPr>
        <w:spacing w:after="12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280"/>
      </w:tblGrid>
      <w:tr>
        <w:tc>
          <w:tcPr>
            <w:tcW w:type="dxa" w:w="4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1</w:t>
            </w:r>
          </w:p>
        </w:tc>
        <w:tc>
          <w:tcPr>
            <w:tcW w:type="dxa" w:w="82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1F36"/>
                <w:sz w:val="22"/>
                <w:szCs w:val="22"/>
              </w:rPr>
              <w:t xml:space="preserve">Outbound / referral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Target M365 E3+ clients, legal/healthcare/logistics, PE-backed SMBs under cost pressure</w:t>
            </w:r>
          </w:p>
        </w:tc>
      </w:tr>
    </w:tbl>
    <w:p>
      <w:pPr>
        <w:spacing w:after="40" w:before="40"/>
        <w:jc w:val="center"/>
      </w:pPr>
      <w:r>
        <w:rPr>
          <w:rFonts w:ascii="Arial" w:cs="Arial" w:eastAsia="Arial" w:hAnsi="Arial"/>
          <w:color w:val="C0C4CC"/>
          <w:sz w:val="20"/>
          <w:szCs w:val="20"/>
        </w:rPr>
        <w:t xml:space="preserve">↓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280"/>
      </w:tblGrid>
      <w:tr>
        <w:tc>
          <w:tcPr>
            <w:tcW w:type="dxa" w:w="4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2</w:t>
            </w:r>
          </w:p>
        </w:tc>
        <w:tc>
          <w:tcPr>
            <w:tcW w:type="dxa" w:w="82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1F36"/>
                <w:sz w:val="22"/>
                <w:szCs w:val="22"/>
              </w:rPr>
              <w:t xml:space="preserve">Discovery call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Focus on pain, not product. Ask "What tasks eat the most time?" — not "Do you need AI?"</w:t>
            </w:r>
          </w:p>
        </w:tc>
      </w:tr>
    </w:tbl>
    <w:p>
      <w:pPr>
        <w:spacing w:after="40" w:before="40"/>
        <w:jc w:val="center"/>
      </w:pPr>
      <w:r>
        <w:rPr>
          <w:rFonts w:ascii="Arial" w:cs="Arial" w:eastAsia="Arial" w:hAnsi="Arial"/>
          <w:color w:val="C0C4CC"/>
          <w:sz w:val="20"/>
          <w:szCs w:val="20"/>
        </w:rPr>
        <w:t xml:space="preserve">↓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7800"/>
        <w:gridCol w:w="600"/>
      </w:tblGrid>
      <w:tr>
        <w:tc>
          <w:tcPr>
            <w:tcW w:type="dxa" w:w="4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3</w:t>
            </w:r>
          </w:p>
        </w:tc>
        <w:tc>
          <w:tcPr>
            <w:tcW w:type="dxa" w:w="780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0F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Propose the assessment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Your real sales move. Low-risk entry, proprietary intelligence, builds trust before the big ask.</w:t>
            </w:r>
          </w:p>
        </w:tc>
        <w:tc>
          <w:tcPr>
            <w:tcW w:type="dxa" w:w="60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0FDF4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66534"/>
                <w:sz w:val="18"/>
                <w:szCs w:val="18"/>
              </w:rPr>
              <w:t xml:space="preserve">$3.5–40k</w:t>
            </w:r>
          </w:p>
        </w:tc>
      </w:tr>
    </w:tbl>
    <w:p>
      <w:pPr>
        <w:spacing w:after="40" w:before="40"/>
        <w:jc w:val="center"/>
      </w:pPr>
      <w:r>
        <w:rPr>
          <w:rFonts w:ascii="Arial" w:cs="Arial" w:eastAsia="Arial" w:hAnsi="Arial"/>
          <w:color w:val="C0C4CC"/>
          <w:sz w:val="20"/>
          <w:szCs w:val="20"/>
        </w:rPr>
        <w:t xml:space="preserve">↓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280"/>
      </w:tblGrid>
      <w:tr>
        <w:tc>
          <w:tcPr>
            <w:tcW w:type="dxa" w:w="4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4</w:t>
            </w:r>
          </w:p>
        </w:tc>
        <w:tc>
          <w:tcPr>
            <w:tcW w:type="dxa" w:w="82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1F36"/>
                <w:sz w:val="22"/>
                <w:szCs w:val="22"/>
              </w:rPr>
              <w:t xml:space="preserve">Assessment delivery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2–4 week engagement. Document findings. Build a roadmap they'll want to execute with you.</w:t>
            </w:r>
          </w:p>
        </w:tc>
      </w:tr>
    </w:tbl>
    <w:p>
      <w:pPr>
        <w:spacing w:after="40" w:before="40"/>
        <w:jc w:val="center"/>
      </w:pPr>
      <w:r>
        <w:rPr>
          <w:rFonts w:ascii="Arial" w:cs="Arial" w:eastAsia="Arial" w:hAnsi="Arial"/>
          <w:color w:val="C0C4CC"/>
          <w:sz w:val="20"/>
          <w:szCs w:val="20"/>
        </w:rPr>
        <w:t xml:space="preserve">↓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280"/>
      </w:tblGrid>
      <w:tr>
        <w:tc>
          <w:tcPr>
            <w:tcW w:type="dxa" w:w="4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5</w:t>
            </w:r>
          </w:p>
        </w:tc>
        <w:tc>
          <w:tcPr>
            <w:tcW w:type="dxa" w:w="82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2"/>
                <w:szCs w:val="22"/>
              </w:rPr>
              <w:t xml:space="preserve">Roadmap presentation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Your real sales meeting. You know their environment. They helped define the solution. Highest close rate.</w:t>
            </w:r>
          </w:p>
        </w:tc>
      </w:tr>
    </w:tbl>
    <w:p>
      <w:pPr>
        <w:spacing w:after="40" w:before="40"/>
        <w:jc w:val="center"/>
      </w:pPr>
      <w:r>
        <w:rPr>
          <w:rFonts w:ascii="Arial" w:cs="Arial" w:eastAsia="Arial" w:hAnsi="Arial"/>
          <w:color w:val="C0C4CC"/>
          <w:sz w:val="20"/>
          <w:szCs w:val="20"/>
        </w:rPr>
        <w:t xml:space="preserve">↓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7800"/>
        <w:gridCol w:w="600"/>
      </w:tblGrid>
      <w:tr>
        <w:tc>
          <w:tcPr>
            <w:tcW w:type="dxa" w:w="4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6</w:t>
            </w:r>
          </w:p>
        </w:tc>
        <w:tc>
          <w:tcPr>
            <w:tcW w:type="dxa" w:w="780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1F36"/>
                <w:sz w:val="22"/>
                <w:szCs w:val="22"/>
              </w:rPr>
              <w:t xml:space="preserve">Implementation proposal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Scoped to roadmap priorities. Include ROI model. Phase 1 only — land, then expand.</w:t>
            </w:r>
          </w:p>
        </w:tc>
        <w:tc>
          <w:tcPr>
            <w:tcW w:type="dxa" w:w="60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1F36"/>
                <w:sz w:val="18"/>
                <w:szCs w:val="18"/>
              </w:rPr>
              <w:t xml:space="preserve">$8k–200k+</w:t>
            </w:r>
          </w:p>
        </w:tc>
      </w:tr>
    </w:tbl>
    <w:p>
      <w:pPr>
        <w:spacing w:after="40" w:before="40"/>
        <w:jc w:val="center"/>
      </w:pPr>
      <w:r>
        <w:rPr>
          <w:rFonts w:ascii="Arial" w:cs="Arial" w:eastAsia="Arial" w:hAnsi="Arial"/>
          <w:color w:val="C0C4CC"/>
          <w:sz w:val="20"/>
          <w:szCs w:val="20"/>
        </w:rPr>
        <w:t xml:space="preserve">↓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7800"/>
        <w:gridCol w:w="600"/>
      </w:tblGrid>
      <w:tr>
        <w:tc>
          <w:tcPr>
            <w:tcW w:type="dxa" w:w="48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7</w:t>
            </w:r>
          </w:p>
        </w:tc>
        <w:tc>
          <w:tcPr>
            <w:tcW w:type="dxa" w:w="780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FFBE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92400E"/>
                <w:sz w:val="22"/>
                <w:szCs w:val="22"/>
              </w:rPr>
              <w:t xml:space="preserve">Managed services contract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Transition from project to recurring MRR. Monthly AI operations, monitoring, and optimization reviews.</w:t>
            </w:r>
          </w:p>
        </w:tc>
        <w:tc>
          <w:tcPr>
            <w:tcW w:type="dxa" w:w="60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FFBEB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$1.2–25k/mo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Bdr>
          <w:bottom w:val="single" w:color="E2E6EF" w:sz="4"/>
        </w:pBdr>
        <w:spacing w:after="120" w:before="32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UPSELL PLAYBOOK — EXISTING MSP CLIENTS</w:t>
      </w:r>
    </w:p>
    <w:p>
      <w:pPr>
        <w:spacing w:after="120"/>
      </w:pPr>
      <w:r>
        <w:rPr>
          <w:rFonts w:ascii="Arial" w:cs="Arial" w:eastAsia="Arial" w:hAnsi="Arial"/>
          <w:color w:val="1A1F36"/>
          <w:sz w:val="22"/>
          <w:szCs w:val="22"/>
        </w:rPr>
        <w:t xml:space="preserve">Your existing managed services clients are your highest-leverage motion. You have trust, you know their environment, and you have regular touchpoints.</w:t>
      </w:r>
    </w:p>
    <w:p>
      <w:pPr>
        <w:spacing w:after="12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7280"/>
                <w:sz w:val="18"/>
                <w:szCs w:val="18"/>
              </w:rPr>
              <w:t xml:space="preserve">STEP 1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Segment your base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Score every client on: employee count, M365 license tier (E3/E5 = high potential), industry AI maturity, and contract renewal timing. Prioritize the top 20% for proactive AI conversations. Clients already paying for E3/E5 have unused Copilot entitlements — your fastest win.</w:t>
            </w:r>
          </w:p>
          <w:p>
            <w:pPr>
              <w:pBdr>
                <w:left w:val="single" w:color="3B82F6" w:sz="12" w:space="8"/>
              </w:pBdr>
              <w:spacing w:before="80"/>
              <w:ind w:left="200"/>
            </w:pPr>
            <w:r>
              <w:rPr>
                <w:rFonts w:ascii="Arial" w:cs="Arial" w:eastAsia="Arial" w:hAnsi="Arial"/>
                <w:i/>
                <w:iCs/>
                <w:color w:val="1E40AF"/>
                <w:sz w:val="19"/>
                <w:szCs w:val="19"/>
              </w:rPr>
              <w:t xml:space="preserve">Signal: Any client on M365 E3/E5 not using Copilot is leaving money on the table — and so are you.</w:t>
            </w:r>
          </w:p>
        </w:tc>
      </w:tr>
    </w:tbl>
    <w:p>
      <w:pPr>
        <w:spacing w:after="10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7280"/>
                <w:sz w:val="18"/>
                <w:szCs w:val="18"/>
              </w:rPr>
              <w:t xml:space="preserve">STEP 2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Complimentary mini-assessment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Offer top accounts a free "AI Opportunity Scan" — a 2-hour workshop scoring 5–10 workflows for automation potential. Frame it as a gift, not a sales call. The findings create urgency and a natural pipeline of project work.</w:t>
            </w:r>
          </w:p>
          <w:p>
            <w:pPr>
              <w:pBdr>
                <w:left w:val="single" w:color="3B82F6" w:sz="12" w:space="8"/>
              </w:pBdr>
              <w:spacing w:before="80"/>
              <w:ind w:left="200"/>
            </w:pPr>
            <w:r>
              <w:rPr>
                <w:rFonts w:ascii="Arial" w:cs="Arial" w:eastAsia="Arial" w:hAnsi="Arial"/>
                <w:i/>
                <w:iCs/>
                <w:color w:val="1E40AF"/>
                <w:sz w:val="19"/>
                <w:szCs w:val="19"/>
              </w:rPr>
              <w:t xml:space="preserve">Script: "We've been mapping AI use cases for clients like you — I'd like to spend 2 hours showing you what we found."</w:t>
            </w:r>
          </w:p>
        </w:tc>
      </w:tr>
    </w:tbl>
    <w:p>
      <w:pPr>
        <w:spacing w:after="10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7280"/>
                <w:sz w:val="18"/>
                <w:szCs w:val="18"/>
              </w:rPr>
              <w:t xml:space="preserve">STEP 3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Rebuild QBRs around AI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Add a standing "AI Roadmap" agenda item to every quarterly business review. Show what's deployed, ROI to date, and what's coming next. Clients who see documented AI progress buy more AI services — visibility creates appetite for the next phase.</w:t>
            </w:r>
          </w:p>
          <w:p>
            <w:pPr>
              <w:pBdr>
                <w:left w:val="single" w:color="3B82F6" w:sz="12" w:space="8"/>
              </w:pBdr>
              <w:spacing w:before="80"/>
              <w:ind w:left="200"/>
            </w:pPr>
            <w:r>
              <w:rPr>
                <w:rFonts w:ascii="Arial" w:cs="Arial" w:eastAsia="Arial" w:hAnsi="Arial"/>
                <w:i/>
                <w:iCs/>
                <w:color w:val="1E40AF"/>
                <w:sz w:val="19"/>
                <w:szCs w:val="19"/>
              </w:rPr>
              <w:t xml:space="preserve">Goal: AI should feel like a running program, not a one-time project. QBRs make it feel continuous.</w:t>
            </w:r>
          </w:p>
        </w:tc>
      </w:tr>
    </w:tbl>
    <w:p>
      <w:pPr>
        <w:spacing w:after="10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7280"/>
                <w:sz w:val="18"/>
                <w:szCs w:val="18"/>
              </w:rPr>
              <w:t xml:space="preserve">STEP 4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Land and expand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Never propose the full transformation upfront. Start with one high-visibility, fast-ROI use case — helpdesk AI or document processing. Prove it in 60–90 days. Then expand to the next workflow. Their own results become your best sales tool for the next phase.</w:t>
            </w:r>
          </w:p>
          <w:p>
            <w:pPr>
              <w:pBdr>
                <w:left w:val="single" w:color="3B82F6" w:sz="12" w:space="8"/>
              </w:pBdr>
              <w:spacing w:before="80"/>
              <w:ind w:left="200"/>
            </w:pPr>
            <w:r>
              <w:rPr>
                <w:rFonts w:ascii="Arial" w:cs="Arial" w:eastAsia="Arial" w:hAnsi="Arial"/>
                <w:i/>
                <w:iCs/>
                <w:color w:val="1E40AF"/>
                <w:sz w:val="19"/>
                <w:szCs w:val="19"/>
              </w:rPr>
              <w:t xml:space="preserve">Sequence: AI helpdesk → Document automation → M365 Copilot rollout → Custom agents → AI governance program</w:t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E8ED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The upsell math</w:t>
            </w:r>
          </w:p>
          <w:p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An existing MSP client at $2,500/month can realistically grow to $6,000–$8,000/month with one AI implementation + managed AI services added. Your existing base is your fastest path to 2× MRR.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/>
      </w:r>
    </w:p>
    <w:p>
      <w:pPr>
        <w:pBdr>
          <w:bottom w:val="single" w:color="E2E6EF" w:sz="4"/>
        </w:pBdr>
        <w:spacing w:after="120" w:before="32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90-DAY EXECUTION PLAN</w:t>
      </w:r>
    </w:p>
    <w:p>
      <w:pPr>
        <w:spacing w:after="120"/>
      </w:pPr>
      <w:r>
        <w:rPr>
          <w:rFonts w:ascii="Arial" w:cs="Arial" w:eastAsia="Arial" w:hAnsi="Arial"/>
          <w:color w:val="1A1F36"/>
          <w:sz w:val="22"/>
          <w:szCs w:val="22"/>
        </w:rPr>
        <w:t xml:space="preserve">Start here before building anything else. Close a messy, imperfect first client — learn everything — then systematize.</w:t>
      </w:r>
    </w:p>
    <w:p>
      <w:pPr>
        <w:spacing w:after="12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84855"/>
                <w:sz w:val="18"/>
                <w:szCs w:val="18"/>
              </w:rPr>
              <w:t xml:space="preserve">MONTH 1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Build the foundation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Create AI Readiness Assessment methodology and scorecard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Document 5–8 standard use-case playbooks for consistent delivery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Build one ROI calculator for your most common vertical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Define managed services SLA and reporting cadence</w:t>
            </w:r>
          </w:p>
        </w:tc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84855"/>
                <w:sz w:val="18"/>
                <w:szCs w:val="18"/>
              </w:rPr>
              <w:t xml:space="preserve">MONTH 2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Run first 3 assessments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Target existing clients with M365 E3/E5 first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Do the first one at cost or free — the case study is worth it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Document every finding and ROI data point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Build a referenceable client story from assessment #1</w:t>
            </w:r>
          </w:p>
        </w:tc>
        <w:tc>
          <w:tcPr>
            <w:tcW w:type="dxa" w:w="3120"/>
            <w:tcBorders>
              <w:top w:val="single" w:color="E2E6EF" w:sz="1"/>
              <w:left w:val="single" w:color="E2E6EF" w:sz="1"/>
              <w:bottom w:val="single" w:color="E2E6EF" w:sz="1"/>
              <w:right w:val="single" w:color="E2E6EF" w:sz="1"/>
            </w:tcBorders>
            <w:shd w:fill="F4F6FA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84855"/>
                <w:sz w:val="18"/>
                <w:szCs w:val="18"/>
              </w:rPr>
              <w:t xml:space="preserve">MONTH 3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Convert to projects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Use roadmap presentations to close first implementations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Systematize delivery from messy first clients — don't wait for perfect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Begin transition from project to recurring contract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• Launch upsell motion with existing client base</w:t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7D2FE" w:sz="1"/>
              <w:left w:val="single" w:color="C7D2FE" w:sz="1"/>
              <w:bottom w:val="single" w:color="C7D2FE" w:sz="1"/>
              <w:right w:val="single" w:color="C7D2FE" w:sz="1"/>
            </w:tcBorders>
            <w:shd w:fill="EEF2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A2463"/>
                <w:sz w:val="22"/>
                <w:szCs w:val="22"/>
              </w:rPr>
              <w:t xml:space="preserve">Critical execution insight</w:t>
            </w:r>
          </w:p>
          <w:p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The single biggest mistake MSPs make entering AI consulting is trying to build a full practice before closing a single client. Do the opposite: close a messy, imperfect first client, learn everything, then systematize. One paying client teaches you more than three months of internal planning.</w:t>
            </w:r>
          </w:p>
        </w:tc>
      </w:tr>
    </w:tbl>
    <w:p>
      <w:pPr>
        <w:spacing w:after="300"/>
      </w:pPr>
      <w:r>
        <w:rPr>
          <w:sz w:val="22"/>
          <w:szCs w:val="22"/>
        </w:rPr>
        <w:t xml:space="preserve"/>
      </w:r>
    </w:p>
    <w:p>
      <w:pPr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Securafy · Staff Resources · Assessment Deployment Tools &amp; Templates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6EF" w:sz="4" w:space="4"/>
      </w:pBdr>
      <w:tabs>
        <w:tab w:val="right" w:pos="9026"/>
      </w:tabs>
    </w:pPr>
    <w:r>
      <w:rPr>
        <w:rFonts w:ascii="Arial" w:cs="Arial" w:eastAsia="Arial" w:hAnsi="Arial"/>
        <w:color w:val="6B7280"/>
        <w:sz w:val="18"/>
        <w:szCs w:val="18"/>
      </w:rPr>
      <w:t xml:space="preserve">Assessment Deployment Tools &amp; Templates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6B7280"/>
        <w:sz w:val="18"/>
        <w:szCs w:val="18"/>
      </w:rPr>
      <w:t xml:space="preserve">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3360"/>
    </w:tblGrid>
    <w:tr>
      <w:tc>
        <w:tcPr>
          <w:tcW w:type="dxa" w:w="6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0A2463"/>
              <w:sz w:val="18"/>
              <w:szCs w:val="18"/>
            </w:rPr>
            <w:t xml:space="preserve">SECURAFY | STAFF RESOURCES</w:t>
          </w:r>
        </w:p>
      </w:tc>
      <w:tc>
        <w:tcPr>
          <w:tcW w:type="dxa" w:w="3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right"/>
          </w:pPr>
          <w:r>
            <w:rPr>
              <w:rFonts w:ascii="Arial" w:cs="Arial" w:eastAsia="Arial" w:hAnsi="Arial"/>
              <w:color w:val="6B7280"/>
              <w:sz w:val="18"/>
              <w:szCs w:val="18"/>
            </w:rPr>
            <w:t xml:space="preserve">AI Services Roadmap</w:t>
          </w:r>
        </w:p>
      </w:tc>
    </w:tr>
  </w:tbl>
  <w:p>
    <w:pPr>
      <w:pBdr>
        <w:bottom w:val="single" w:color="0A2463" w:sz="6" w:space="1"/>
      </w:pBdr>
      <w:spacing w:after="0"/>
    </w:pPr>
    <w:r>
      <w:rPr>
        <w:sz w:val="18"/>
        <w:szCs w:val="1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A2463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0A246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2026-04-30T18:27:53.191Z</dcterms:created>
  <dcterms:modified xsi:type="dcterms:W3CDTF">2026-04-30T18:27:53.191Z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